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5835B2" w14:textId="77777777" w:rsidR="00575AB2" w:rsidRDefault="00575AB2" w:rsidP="00575AB2">
      <w:pPr>
        <w:pStyle w:val="versales"/>
        <w:shd w:val="clear" w:color="auto" w:fill="FFFFFF"/>
        <w:jc w:val="both"/>
        <w:rPr>
          <w:rFonts w:ascii="Arial" w:hAnsi="Arial" w:cs="Arial"/>
          <w:smallCaps/>
          <w:color w:val="9D0000"/>
        </w:rPr>
      </w:pPr>
      <w:r>
        <w:rPr>
          <w:rFonts w:ascii="Arial" w:hAnsi="Arial" w:cs="Arial"/>
          <w:smallCaps/>
          <w:color w:val="9D0000"/>
        </w:rPr>
        <w:t>Que adiciona el artículo 322 del Código Federal de Procedimientos Civiles, suscrita por el diputado Javier González Zepeda e integrantes del Grupo Parlamentario del PAN</w:t>
      </w:r>
    </w:p>
    <w:p w14:paraId="0F10E627" w14:textId="77777777" w:rsidR="00575AB2" w:rsidRDefault="00575AB2" w:rsidP="00575AB2">
      <w:pPr>
        <w:pStyle w:val="NormalWeb"/>
        <w:shd w:val="clear" w:color="auto" w:fill="FFFFFF"/>
        <w:jc w:val="both"/>
        <w:rPr>
          <w:rFonts w:ascii="Arial" w:hAnsi="Arial" w:cs="Arial"/>
          <w:color w:val="000000"/>
          <w:sz w:val="22"/>
          <w:szCs w:val="22"/>
        </w:rPr>
      </w:pPr>
      <w:r>
        <w:rPr>
          <w:rFonts w:ascii="Arial" w:hAnsi="Arial" w:cs="Arial"/>
          <w:color w:val="000000"/>
          <w:sz w:val="22"/>
          <w:szCs w:val="22"/>
        </w:rPr>
        <w:t>Con fundamento en lo dispuesto en los artículos 71, fracción II, de la Constitución Política de los Estados Unidos Mexicanos; y 6, 77 y 78 del Reglamento de la Cámara de Diputados, el suscrito, Javier González Zepeda, integrante del Grupo Parlamentario del Partido Acción Nacional en la LXV legislatura de la Cámara de Diputados, a título personal y en nombre de los integrantes del grupo parlamentario, somete a consideración del pleno de esta soberanía la presente iniciativa con proyecto de decreto, por el que se adiciona la fracción III del artículo 322 del Código Federal de Procedimientos Civiles.</w:t>
      </w:r>
    </w:p>
    <w:p w14:paraId="165A1CA5" w14:textId="77777777" w:rsidR="00575AB2" w:rsidRDefault="00575AB2" w:rsidP="00575AB2">
      <w:pPr>
        <w:pStyle w:val="NormalWeb"/>
        <w:shd w:val="clear" w:color="auto" w:fill="FFFFFF"/>
        <w:jc w:val="both"/>
        <w:rPr>
          <w:rFonts w:ascii="Arial" w:hAnsi="Arial" w:cs="Arial"/>
          <w:color w:val="000000"/>
          <w:sz w:val="22"/>
          <w:szCs w:val="22"/>
        </w:rPr>
      </w:pPr>
      <w:r>
        <w:rPr>
          <w:rFonts w:ascii="Arial" w:hAnsi="Arial" w:cs="Arial"/>
          <w:color w:val="000000"/>
          <w:sz w:val="22"/>
          <w:szCs w:val="22"/>
        </w:rPr>
        <w:t>Lo anterior, debido a que contraviene el artículo 1o., párrafo tercero, de la Constitución Política de los Estados Unidos Mexicanos consistente en que todas las autoridades, en el ámbito de sus competencias, tienen la obligación de promover, respetar, proteger y garantizar los derechos humanos de conformidad con los principios de universalidad, interdependencia, indivisibilidad y progresividad.</w:t>
      </w:r>
    </w:p>
    <w:p w14:paraId="1A099B71" w14:textId="77777777" w:rsidR="00575AB2" w:rsidRDefault="00575AB2" w:rsidP="00575AB2">
      <w:pPr>
        <w:pStyle w:val="NormalWeb"/>
        <w:shd w:val="clear" w:color="auto" w:fill="FFFFFF"/>
        <w:jc w:val="both"/>
        <w:rPr>
          <w:rFonts w:ascii="Arial" w:hAnsi="Arial" w:cs="Arial"/>
          <w:color w:val="000000"/>
          <w:sz w:val="22"/>
          <w:szCs w:val="22"/>
        </w:rPr>
      </w:pPr>
      <w:r>
        <w:rPr>
          <w:rFonts w:ascii="Arial" w:hAnsi="Arial" w:cs="Arial"/>
          <w:color w:val="000000"/>
          <w:sz w:val="22"/>
          <w:szCs w:val="22"/>
        </w:rPr>
        <w:t>Además, con base en el artículo 27, fracción XIX, donde establece que el Estado dispondrá las medidas para una expedita y honesta impartición de la justicia agraria, con el objeto de garantizar la seguridad jurídica en la tenencia de la tierra a los sujetos agrarios, así como la jurisdicción federal, y la institución de tribunales dotados de autonomía y plena jurisdicción para brindar un mejor servicio y asistencia legal gratuita a los hombres del campo, en tenor de la siguiente exposición de motivos.</w:t>
      </w:r>
    </w:p>
    <w:p w14:paraId="7D9D0C0C" w14:textId="77777777" w:rsidR="00575AB2" w:rsidRDefault="00575AB2" w:rsidP="00575AB2">
      <w:pPr>
        <w:pStyle w:val="NormalWeb"/>
        <w:shd w:val="clear" w:color="auto" w:fill="FFFFFF"/>
        <w:jc w:val="both"/>
        <w:rPr>
          <w:rFonts w:ascii="Arial" w:hAnsi="Arial" w:cs="Arial"/>
          <w:color w:val="000000"/>
          <w:sz w:val="22"/>
          <w:szCs w:val="22"/>
        </w:rPr>
      </w:pPr>
      <w:r>
        <w:rPr>
          <w:rFonts w:ascii="Arial" w:hAnsi="Arial" w:cs="Arial"/>
          <w:color w:val="000000"/>
          <w:sz w:val="22"/>
          <w:szCs w:val="22"/>
        </w:rPr>
        <w:t>Hoy se observa falta de equilibrio procesal de las partes al momento de emitirse un auto de prevención, teniendo como consecuencia que los sujetos agrarios no cuentan con una debida certeza jurídica, en el sentido de que el juzgador agrario no tiene la facultad de tener por no interpuesto el escrito inicial, conforme a lo establecido en el artículo 181 de la Ley Agraria, viéndose limitado el magistrado en sus facultades, restando con ello autonomía al no poder sancionar sus propias determinaciones en el auto de prevención.</w:t>
      </w:r>
    </w:p>
    <w:p w14:paraId="0CE42BF0" w14:textId="77777777" w:rsidR="00575AB2" w:rsidRDefault="00575AB2" w:rsidP="00575AB2">
      <w:pPr>
        <w:pStyle w:val="NormalWeb"/>
        <w:shd w:val="clear" w:color="auto" w:fill="FFFFFF"/>
        <w:jc w:val="both"/>
        <w:rPr>
          <w:rFonts w:ascii="Arial" w:hAnsi="Arial" w:cs="Arial"/>
          <w:color w:val="000000"/>
          <w:sz w:val="22"/>
          <w:szCs w:val="22"/>
        </w:rPr>
      </w:pPr>
      <w:r>
        <w:rPr>
          <w:rFonts w:ascii="Arial" w:hAnsi="Arial" w:cs="Arial"/>
          <w:color w:val="000000"/>
          <w:sz w:val="22"/>
          <w:szCs w:val="22"/>
        </w:rPr>
        <w:t>Me refiero específicamente al auto de prevención, ya que en la impartición de justicia al no tener por interpuesta una demanda en casos que no se cumpla con el término establecido en el artículo 181 de la legislación agraria (ocho días), en razón al cumplimiento de la prevención para ser el caso se admita la demanda.</w:t>
      </w:r>
    </w:p>
    <w:p w14:paraId="2876482B" w14:textId="77777777" w:rsidR="00575AB2" w:rsidRDefault="00575AB2" w:rsidP="00575AB2">
      <w:pPr>
        <w:pStyle w:val="NormalWeb"/>
        <w:shd w:val="clear" w:color="auto" w:fill="FFFFFF"/>
        <w:jc w:val="both"/>
        <w:rPr>
          <w:rFonts w:ascii="Arial" w:hAnsi="Arial" w:cs="Arial"/>
          <w:color w:val="000000"/>
          <w:sz w:val="22"/>
          <w:szCs w:val="22"/>
        </w:rPr>
      </w:pPr>
      <w:r>
        <w:rPr>
          <w:rFonts w:ascii="Arial" w:hAnsi="Arial" w:cs="Arial"/>
          <w:color w:val="000000"/>
          <w:sz w:val="22"/>
          <w:szCs w:val="22"/>
        </w:rPr>
        <w:t xml:space="preserve">La interrogante surge al no establecer, al no expresar de manera precisa el apercibimiento para el caso de incumplimiento, si puede prevenirse nuevamente por no cumplir, en su caso, con la totalidad de los requisitos solicitados por el Unitario en el momento de prevenir la demanda, o bien, tampoco es preciso el numeral 181 de la Ley Agraria, en el sentido, de que para el caso en que se vence el término otorgado de los ocho días, tendrá que admitirse la </w:t>
      </w:r>
      <w:proofErr w:type="gramStart"/>
      <w:r>
        <w:rPr>
          <w:rFonts w:ascii="Arial" w:hAnsi="Arial" w:cs="Arial"/>
          <w:color w:val="000000"/>
          <w:sz w:val="22"/>
          <w:szCs w:val="22"/>
        </w:rPr>
        <w:t>demanda</w:t>
      </w:r>
      <w:proofErr w:type="gramEnd"/>
      <w:r>
        <w:rPr>
          <w:rFonts w:ascii="Arial" w:hAnsi="Arial" w:cs="Arial"/>
          <w:color w:val="000000"/>
          <w:sz w:val="22"/>
          <w:szCs w:val="22"/>
        </w:rPr>
        <w:t xml:space="preserve"> aunque este fuera de término. Tampoco indica si se archivará el expediente por no tener interés o una debida asesoría legal. Lo que resalta es que, al haber inactividad procesal, si no da cumplimiento al auto de prevención, comienza a correr el término de la caducidad que señala la Ley Agraria en su numeral 190, es decir, transcurrir el término de cuatro meses. En la materia agraria, no hay sanción al incumplimiento del requerimiento formulado, el legislador debe establecer esa una sanción la cual se basa en la ley supletoria que es el Código Federal de Procedimientos Civiles en el artículo 325 a la de Ley Agraria, en él se advierte que se previene para dar cumplimiento al requerimiento que se formule en </w:t>
      </w:r>
      <w:r>
        <w:rPr>
          <w:rFonts w:ascii="Arial" w:hAnsi="Arial" w:cs="Arial"/>
          <w:color w:val="000000"/>
          <w:sz w:val="22"/>
          <w:szCs w:val="22"/>
        </w:rPr>
        <w:lastRenderedPageBreak/>
        <w:t xml:space="preserve">el auto de prevención por única vez, en caso de no dar cumplimiento se desechará la demanda. En esto, no hay que perder de vista que se señala el </w:t>
      </w:r>
      <w:proofErr w:type="spellStart"/>
      <w:r>
        <w:rPr>
          <w:rFonts w:ascii="Arial" w:hAnsi="Arial" w:cs="Arial"/>
          <w:color w:val="000000"/>
          <w:sz w:val="22"/>
          <w:szCs w:val="22"/>
        </w:rPr>
        <w:t>desechamiento</w:t>
      </w:r>
      <w:proofErr w:type="spellEnd"/>
      <w:r>
        <w:rPr>
          <w:rFonts w:ascii="Arial" w:hAnsi="Arial" w:cs="Arial"/>
          <w:color w:val="000000"/>
          <w:sz w:val="22"/>
          <w:szCs w:val="22"/>
        </w:rPr>
        <w:t xml:space="preserve"> por no cumplir en la totalidad la prevención.</w:t>
      </w:r>
    </w:p>
    <w:p w14:paraId="5CBB5304" w14:textId="77777777" w:rsidR="00575AB2" w:rsidRDefault="00575AB2" w:rsidP="00575AB2">
      <w:pPr>
        <w:pStyle w:val="NormalWeb"/>
        <w:shd w:val="clear" w:color="auto" w:fill="FFFFFF"/>
        <w:jc w:val="both"/>
        <w:rPr>
          <w:rFonts w:ascii="Arial" w:hAnsi="Arial" w:cs="Arial"/>
          <w:color w:val="000000"/>
          <w:sz w:val="22"/>
          <w:szCs w:val="22"/>
        </w:rPr>
      </w:pPr>
      <w:r>
        <w:rPr>
          <w:rFonts w:ascii="Arial" w:hAnsi="Arial" w:cs="Arial"/>
          <w:color w:val="000000"/>
          <w:sz w:val="22"/>
          <w:szCs w:val="22"/>
        </w:rPr>
        <w:t>La Ley Agraria no prevé desechar la demanda, sino únicamente de manera breve señala sobre su admisión y la prevención. En ese sentido, el magistrado del Unitario no podría ejercer coercitividad para dar cumplimiento a la prevención, ya que sólo refiere el término de ocho días para subsanar sus omisiones, sin apercibir para el caso de incumplimiento.</w:t>
      </w:r>
    </w:p>
    <w:p w14:paraId="196C9F8A" w14:textId="77777777" w:rsidR="00575AB2" w:rsidRDefault="00575AB2" w:rsidP="00575AB2">
      <w:pPr>
        <w:pStyle w:val="NormalWeb"/>
        <w:shd w:val="clear" w:color="auto" w:fill="FFFFFF"/>
        <w:jc w:val="both"/>
        <w:rPr>
          <w:rFonts w:ascii="Arial" w:hAnsi="Arial" w:cs="Arial"/>
          <w:color w:val="000000"/>
          <w:sz w:val="22"/>
          <w:szCs w:val="22"/>
        </w:rPr>
      </w:pPr>
      <w:r>
        <w:rPr>
          <w:rFonts w:ascii="Arial" w:hAnsi="Arial" w:cs="Arial"/>
          <w:color w:val="000000"/>
          <w:sz w:val="22"/>
          <w:szCs w:val="22"/>
        </w:rPr>
        <w:t>Se observa que no se considera en la legislación agraria, ni en su ley supletoria (el Código Federal de Procedimientos Civiles), con una debida requisición para una buena presentación y aceptación de demanda dejando en estado de indefensión a los sujetos agrarios.</w:t>
      </w:r>
    </w:p>
    <w:p w14:paraId="773137DD" w14:textId="77777777" w:rsidR="00575AB2" w:rsidRDefault="00575AB2" w:rsidP="00575AB2">
      <w:pPr>
        <w:pStyle w:val="NormalWeb"/>
        <w:shd w:val="clear" w:color="auto" w:fill="FFFFFF"/>
        <w:jc w:val="both"/>
        <w:rPr>
          <w:rFonts w:ascii="Arial" w:hAnsi="Arial" w:cs="Arial"/>
          <w:color w:val="000000"/>
          <w:sz w:val="22"/>
          <w:szCs w:val="22"/>
        </w:rPr>
      </w:pPr>
      <w:r>
        <w:rPr>
          <w:rFonts w:ascii="Arial" w:hAnsi="Arial" w:cs="Arial"/>
          <w:color w:val="000000"/>
          <w:sz w:val="22"/>
          <w:szCs w:val="22"/>
        </w:rPr>
        <w:t>Por ello, esta propuesta tiene como finalidad no tener rezago procesal en los Tribunales Agrarios y que el juzgador agrario no se vea limitado en sus facultades. Todo esto para dar una mejor certeza jurídica a los sujetos agrarios y que se logre el motivo de la creación de los órganos de impartición de justicia que señala el artículo 27, fracción XIX, de la Constitución Política de los Estados Unidos Mexicanos. En ese sentido, el poder facultar a los juzgadores agrarios a tener por no interpuesta una demanda, no deja en estado de indefensión a una clase vulnerable como el sector agrario, en donde propiamente son campesinos, menos aún, violaría derechos que señala el artículo 1o. de la Constitución federal, contrario a ello se brindaría un mejor servicio de asesoría y justicia en favor de los sujetos agrarios.</w:t>
      </w:r>
    </w:p>
    <w:p w14:paraId="3639051C" w14:textId="77777777" w:rsidR="00575AB2" w:rsidRDefault="00575AB2" w:rsidP="00575AB2">
      <w:pPr>
        <w:pStyle w:val="NormalWeb"/>
        <w:shd w:val="clear" w:color="auto" w:fill="FFFFFF"/>
        <w:jc w:val="both"/>
        <w:rPr>
          <w:rFonts w:ascii="Arial" w:hAnsi="Arial" w:cs="Arial"/>
          <w:color w:val="000000"/>
          <w:sz w:val="22"/>
          <w:szCs w:val="22"/>
        </w:rPr>
      </w:pPr>
      <w:r>
        <w:rPr>
          <w:rFonts w:ascii="Arial" w:hAnsi="Arial" w:cs="Arial"/>
          <w:color w:val="000000"/>
          <w:sz w:val="22"/>
          <w:szCs w:val="22"/>
        </w:rPr>
        <w:t>Por ello hoy someto a su consideración la presente adición, en tenor de lo referido:</w:t>
      </w:r>
    </w:p>
    <w:p w14:paraId="4485C555" w14:textId="77777777" w:rsidR="00575AB2" w:rsidRDefault="00575AB2" w:rsidP="00575AB2">
      <w:pPr>
        <w:pStyle w:val="NormalWeb"/>
        <w:shd w:val="clear" w:color="auto" w:fill="FFFFFF"/>
        <w:jc w:val="both"/>
        <w:rPr>
          <w:rFonts w:ascii="Arial" w:hAnsi="Arial" w:cs="Arial"/>
          <w:color w:val="000000"/>
          <w:sz w:val="22"/>
          <w:szCs w:val="22"/>
        </w:rPr>
      </w:pPr>
      <w:r>
        <w:rPr>
          <w:rStyle w:val="negritas"/>
          <w:rFonts w:ascii="Arial" w:hAnsi="Arial" w:cs="Arial"/>
          <w:b/>
          <w:bCs/>
          <w:color w:val="000000"/>
          <w:sz w:val="22"/>
          <w:szCs w:val="22"/>
        </w:rPr>
        <w:t>Decreto por el que se adiciona la fracción III del artículo 322 del Código Federal de Procedimientos Civiles</w:t>
      </w:r>
    </w:p>
    <w:p w14:paraId="5AF036A1" w14:textId="77777777" w:rsidR="00575AB2" w:rsidRDefault="00575AB2" w:rsidP="00575AB2">
      <w:pPr>
        <w:pStyle w:val="NormalWeb"/>
        <w:shd w:val="clear" w:color="auto" w:fill="FFFFFF"/>
        <w:jc w:val="both"/>
        <w:rPr>
          <w:rFonts w:ascii="Arial" w:hAnsi="Arial" w:cs="Arial"/>
          <w:color w:val="000000"/>
          <w:sz w:val="22"/>
          <w:szCs w:val="22"/>
        </w:rPr>
      </w:pPr>
      <w:r>
        <w:rPr>
          <w:rStyle w:val="negritas"/>
          <w:rFonts w:ascii="Arial" w:hAnsi="Arial" w:cs="Arial"/>
          <w:b/>
          <w:bCs/>
          <w:color w:val="000000"/>
          <w:sz w:val="22"/>
          <w:szCs w:val="22"/>
        </w:rPr>
        <w:t>Único. </w:t>
      </w:r>
      <w:r>
        <w:rPr>
          <w:rFonts w:ascii="Arial" w:hAnsi="Arial" w:cs="Arial"/>
          <w:color w:val="000000"/>
          <w:sz w:val="22"/>
          <w:szCs w:val="22"/>
        </w:rPr>
        <w:t>Se </w:t>
      </w:r>
      <w:r>
        <w:rPr>
          <w:rStyle w:val="negritas"/>
          <w:rFonts w:ascii="Arial" w:hAnsi="Arial" w:cs="Arial"/>
          <w:b/>
          <w:bCs/>
          <w:color w:val="000000"/>
          <w:sz w:val="22"/>
          <w:szCs w:val="22"/>
        </w:rPr>
        <w:t>adiciona</w:t>
      </w:r>
      <w:r>
        <w:rPr>
          <w:rFonts w:ascii="Arial" w:hAnsi="Arial" w:cs="Arial"/>
          <w:color w:val="000000"/>
          <w:sz w:val="22"/>
          <w:szCs w:val="22"/>
        </w:rPr>
        <w:t> la fracción III del artículo 322 del Código Federal de Procedimientos Civiles, cuando la materia juicio lo requiera, se deberá identificar la superficie, los linderos y las colindancias, anexando un croquis, para quedar como sigue:</w:t>
      </w:r>
    </w:p>
    <w:p w14:paraId="4C6C95C8" w14:textId="77777777" w:rsidR="00575AB2" w:rsidRDefault="00575AB2" w:rsidP="00575AB2">
      <w:pPr>
        <w:pStyle w:val="NormalWeb"/>
        <w:shd w:val="clear" w:color="auto" w:fill="FFFFFF"/>
        <w:jc w:val="both"/>
        <w:rPr>
          <w:rFonts w:ascii="Arial" w:hAnsi="Arial" w:cs="Arial"/>
          <w:color w:val="000000"/>
          <w:sz w:val="22"/>
          <w:szCs w:val="22"/>
        </w:rPr>
      </w:pPr>
      <w:r>
        <w:rPr>
          <w:rStyle w:val="negritas"/>
          <w:rFonts w:ascii="Arial" w:hAnsi="Arial" w:cs="Arial"/>
          <w:b/>
          <w:bCs/>
          <w:color w:val="000000"/>
          <w:sz w:val="22"/>
          <w:szCs w:val="22"/>
        </w:rPr>
        <w:t>Artículo 322. </w:t>
      </w:r>
      <w:r>
        <w:rPr>
          <w:rFonts w:ascii="Arial" w:hAnsi="Arial" w:cs="Arial"/>
          <w:color w:val="000000"/>
          <w:sz w:val="22"/>
          <w:szCs w:val="22"/>
        </w:rPr>
        <w:t>La demanda expresará</w:t>
      </w:r>
    </w:p>
    <w:p w14:paraId="7CBAE495" w14:textId="77777777" w:rsidR="00575AB2" w:rsidRDefault="00575AB2" w:rsidP="00575AB2">
      <w:pPr>
        <w:pStyle w:val="sangria"/>
        <w:shd w:val="clear" w:color="auto" w:fill="FFFFFF"/>
        <w:ind w:left="240"/>
        <w:jc w:val="both"/>
        <w:rPr>
          <w:rFonts w:ascii="Arial" w:hAnsi="Arial" w:cs="Arial"/>
          <w:color w:val="000000"/>
          <w:sz w:val="22"/>
          <w:szCs w:val="22"/>
        </w:rPr>
      </w:pPr>
      <w:r>
        <w:rPr>
          <w:rStyle w:val="negritas"/>
          <w:rFonts w:ascii="Arial" w:hAnsi="Arial" w:cs="Arial"/>
          <w:b/>
          <w:bCs/>
          <w:color w:val="000000"/>
          <w:sz w:val="22"/>
          <w:szCs w:val="22"/>
        </w:rPr>
        <w:t>I.</w:t>
      </w:r>
      <w:r>
        <w:rPr>
          <w:rFonts w:ascii="Arial" w:hAnsi="Arial" w:cs="Arial"/>
          <w:color w:val="000000"/>
          <w:sz w:val="22"/>
          <w:szCs w:val="22"/>
        </w:rPr>
        <w:t> y </w:t>
      </w:r>
      <w:r>
        <w:rPr>
          <w:rStyle w:val="negritas"/>
          <w:rFonts w:ascii="Arial" w:hAnsi="Arial" w:cs="Arial"/>
          <w:b/>
          <w:bCs/>
          <w:color w:val="000000"/>
          <w:sz w:val="22"/>
          <w:szCs w:val="22"/>
        </w:rPr>
        <w:t>II.</w:t>
      </w:r>
      <w:r>
        <w:rPr>
          <w:rFonts w:ascii="Arial" w:hAnsi="Arial" w:cs="Arial"/>
          <w:color w:val="000000"/>
          <w:sz w:val="22"/>
          <w:szCs w:val="22"/>
        </w:rPr>
        <w:t> ...</w:t>
      </w:r>
    </w:p>
    <w:p w14:paraId="28E01A8C" w14:textId="77777777" w:rsidR="00575AB2" w:rsidRDefault="00575AB2" w:rsidP="00575AB2">
      <w:pPr>
        <w:pStyle w:val="sangria"/>
        <w:shd w:val="clear" w:color="auto" w:fill="FFFFFF"/>
        <w:ind w:left="240"/>
        <w:jc w:val="both"/>
        <w:rPr>
          <w:rFonts w:ascii="Arial" w:hAnsi="Arial" w:cs="Arial"/>
          <w:color w:val="000000"/>
          <w:sz w:val="22"/>
          <w:szCs w:val="22"/>
        </w:rPr>
      </w:pPr>
      <w:r>
        <w:rPr>
          <w:rStyle w:val="negritas"/>
          <w:rFonts w:ascii="Arial" w:hAnsi="Arial" w:cs="Arial"/>
          <w:b/>
          <w:bCs/>
          <w:color w:val="000000"/>
          <w:sz w:val="22"/>
          <w:szCs w:val="22"/>
        </w:rPr>
        <w:t>III. </w:t>
      </w:r>
      <w:r>
        <w:rPr>
          <w:rFonts w:ascii="Arial" w:hAnsi="Arial" w:cs="Arial"/>
          <w:color w:val="000000"/>
          <w:sz w:val="22"/>
          <w:szCs w:val="22"/>
        </w:rPr>
        <w:t>Los hechos en que el actor funde su petición, narrándolos sucintamente, con claridad y precisión, de tal manera que el demandado pueda producir su contestación y defensa; </w:t>
      </w:r>
      <w:r>
        <w:rPr>
          <w:rStyle w:val="negritas"/>
          <w:rFonts w:ascii="Arial" w:hAnsi="Arial" w:cs="Arial"/>
          <w:b/>
          <w:bCs/>
          <w:color w:val="000000"/>
          <w:sz w:val="22"/>
          <w:szCs w:val="22"/>
        </w:rPr>
        <w:t>cuando la materia juicio lo requiera, se deberá identificar la superficie, los linderos y las colindancias, anexando un croquis;</w:t>
      </w:r>
    </w:p>
    <w:p w14:paraId="38672E6C" w14:textId="77777777" w:rsidR="00575AB2" w:rsidRDefault="00575AB2" w:rsidP="00575AB2">
      <w:pPr>
        <w:pStyle w:val="sangria"/>
        <w:shd w:val="clear" w:color="auto" w:fill="FFFFFF"/>
        <w:ind w:left="240"/>
        <w:jc w:val="both"/>
        <w:rPr>
          <w:rFonts w:ascii="Arial" w:hAnsi="Arial" w:cs="Arial"/>
          <w:color w:val="000000"/>
          <w:sz w:val="22"/>
          <w:szCs w:val="22"/>
        </w:rPr>
      </w:pPr>
      <w:r>
        <w:rPr>
          <w:rStyle w:val="negritas"/>
          <w:rFonts w:ascii="Arial" w:hAnsi="Arial" w:cs="Arial"/>
          <w:b/>
          <w:bCs/>
          <w:color w:val="000000"/>
          <w:sz w:val="22"/>
          <w:szCs w:val="22"/>
        </w:rPr>
        <w:t>IV.</w:t>
      </w:r>
      <w:r>
        <w:rPr>
          <w:rFonts w:ascii="Arial" w:hAnsi="Arial" w:cs="Arial"/>
          <w:color w:val="000000"/>
          <w:sz w:val="22"/>
          <w:szCs w:val="22"/>
        </w:rPr>
        <w:t> a </w:t>
      </w:r>
      <w:r>
        <w:rPr>
          <w:rStyle w:val="negritas"/>
          <w:rFonts w:ascii="Arial" w:hAnsi="Arial" w:cs="Arial"/>
          <w:b/>
          <w:bCs/>
          <w:color w:val="000000"/>
          <w:sz w:val="22"/>
          <w:szCs w:val="22"/>
        </w:rPr>
        <w:t>V.</w:t>
      </w:r>
      <w:r>
        <w:rPr>
          <w:rFonts w:ascii="Arial" w:hAnsi="Arial" w:cs="Arial"/>
          <w:color w:val="000000"/>
          <w:sz w:val="22"/>
          <w:szCs w:val="22"/>
        </w:rPr>
        <w:t> ...</w:t>
      </w:r>
    </w:p>
    <w:p w14:paraId="696CBC99" w14:textId="77777777" w:rsidR="00575AB2" w:rsidRDefault="00575AB2" w:rsidP="00575AB2">
      <w:pPr>
        <w:pStyle w:val="centrar"/>
        <w:shd w:val="clear" w:color="auto" w:fill="FFFFFF"/>
        <w:rPr>
          <w:rFonts w:ascii="Arial" w:hAnsi="Arial" w:cs="Arial"/>
          <w:b/>
          <w:bCs/>
          <w:color w:val="000000"/>
          <w:sz w:val="22"/>
          <w:szCs w:val="22"/>
        </w:rPr>
      </w:pPr>
      <w:r>
        <w:rPr>
          <w:rFonts w:ascii="Arial" w:hAnsi="Arial" w:cs="Arial"/>
          <w:b/>
          <w:bCs/>
          <w:color w:val="000000"/>
          <w:sz w:val="22"/>
          <w:szCs w:val="22"/>
        </w:rPr>
        <w:t>Transitorios</w:t>
      </w:r>
    </w:p>
    <w:p w14:paraId="0B8C31D8" w14:textId="77777777" w:rsidR="00575AB2" w:rsidRDefault="00575AB2" w:rsidP="00575AB2">
      <w:pPr>
        <w:pStyle w:val="NormalWeb"/>
        <w:shd w:val="clear" w:color="auto" w:fill="FFFFFF"/>
        <w:jc w:val="both"/>
        <w:rPr>
          <w:rFonts w:ascii="Arial" w:hAnsi="Arial" w:cs="Arial"/>
          <w:color w:val="000000"/>
          <w:sz w:val="22"/>
          <w:szCs w:val="22"/>
        </w:rPr>
      </w:pPr>
      <w:r>
        <w:rPr>
          <w:rStyle w:val="negritas"/>
          <w:rFonts w:ascii="Arial" w:hAnsi="Arial" w:cs="Arial"/>
          <w:b/>
          <w:bCs/>
          <w:color w:val="000000"/>
          <w:sz w:val="22"/>
          <w:szCs w:val="22"/>
        </w:rPr>
        <w:t>Primero. </w:t>
      </w:r>
      <w:r>
        <w:rPr>
          <w:rFonts w:ascii="Arial" w:hAnsi="Arial" w:cs="Arial"/>
          <w:color w:val="000000"/>
          <w:sz w:val="22"/>
          <w:szCs w:val="22"/>
        </w:rPr>
        <w:t>El presente decreto entrará en vigor el día siguiente al de su publicación en el Diario Oficial de la Federación.</w:t>
      </w:r>
    </w:p>
    <w:p w14:paraId="1C60F367" w14:textId="77777777" w:rsidR="00575AB2" w:rsidRDefault="00575AB2" w:rsidP="00575AB2">
      <w:pPr>
        <w:pStyle w:val="NormalWeb"/>
        <w:shd w:val="clear" w:color="auto" w:fill="FFFFFF"/>
        <w:jc w:val="both"/>
        <w:rPr>
          <w:rFonts w:ascii="Arial" w:hAnsi="Arial" w:cs="Arial"/>
          <w:color w:val="000000"/>
          <w:sz w:val="22"/>
          <w:szCs w:val="22"/>
        </w:rPr>
      </w:pPr>
      <w:r>
        <w:rPr>
          <w:rStyle w:val="negritas"/>
          <w:rFonts w:ascii="Arial" w:hAnsi="Arial" w:cs="Arial"/>
          <w:b/>
          <w:bCs/>
          <w:color w:val="000000"/>
          <w:sz w:val="22"/>
          <w:szCs w:val="22"/>
        </w:rPr>
        <w:lastRenderedPageBreak/>
        <w:t>Segundo. </w:t>
      </w:r>
      <w:r>
        <w:rPr>
          <w:rFonts w:ascii="Arial" w:hAnsi="Arial" w:cs="Arial"/>
          <w:color w:val="000000"/>
          <w:sz w:val="22"/>
          <w:szCs w:val="22"/>
        </w:rPr>
        <w:t>Una vez establecidos asuntos que se encuentren en trámite a la entrada en vigor del presente Decreto continuarán desarrollándose conforme a las disposiciones vigentes al momento en que fueron iniciados.</w:t>
      </w:r>
    </w:p>
    <w:p w14:paraId="4E667848" w14:textId="77777777" w:rsidR="00575AB2" w:rsidRDefault="00575AB2" w:rsidP="00575AB2">
      <w:pPr>
        <w:pStyle w:val="derecha"/>
        <w:shd w:val="clear" w:color="auto" w:fill="FFFFFF"/>
        <w:rPr>
          <w:rFonts w:ascii="Arial" w:hAnsi="Arial" w:cs="Arial"/>
          <w:color w:val="000000"/>
          <w:sz w:val="22"/>
          <w:szCs w:val="22"/>
        </w:rPr>
      </w:pPr>
      <w:r>
        <w:rPr>
          <w:rFonts w:ascii="Arial" w:hAnsi="Arial" w:cs="Arial"/>
          <w:color w:val="000000"/>
          <w:sz w:val="22"/>
          <w:szCs w:val="22"/>
        </w:rPr>
        <w:t>Palacio Legislativo de San Lázaro, a 10 de febrero de 2022.</w:t>
      </w:r>
    </w:p>
    <w:p w14:paraId="4C212F08" w14:textId="77777777" w:rsidR="00575AB2" w:rsidRDefault="00575AB2" w:rsidP="00575AB2">
      <w:pPr>
        <w:pStyle w:val="atentamente"/>
        <w:shd w:val="clear" w:color="auto" w:fill="FFFFFF"/>
        <w:spacing w:before="0" w:beforeAutospacing="0" w:after="0" w:afterAutospacing="0"/>
        <w:jc w:val="both"/>
        <w:rPr>
          <w:rFonts w:ascii="Arial" w:hAnsi="Arial" w:cs="Arial"/>
          <w:color w:val="000000"/>
          <w:sz w:val="22"/>
          <w:szCs w:val="22"/>
        </w:rPr>
      </w:pPr>
      <w:r>
        <w:rPr>
          <w:rFonts w:ascii="Arial" w:hAnsi="Arial" w:cs="Arial"/>
          <w:color w:val="000000"/>
          <w:sz w:val="22"/>
          <w:szCs w:val="22"/>
        </w:rPr>
        <w:t>Diputado Javier González Zepeda (rúbrica)</w:t>
      </w:r>
    </w:p>
    <w:p w14:paraId="30162DAF" w14:textId="77777777" w:rsidR="00D9789B" w:rsidRDefault="008322A7"/>
    <w:sectPr w:rsidR="00D9789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5AB2"/>
    <w:rsid w:val="00197817"/>
    <w:rsid w:val="00542EAE"/>
    <w:rsid w:val="00575AB2"/>
    <w:rsid w:val="008322A7"/>
    <w:rsid w:val="00950DCA"/>
    <w:rsid w:val="00984654"/>
    <w:rsid w:val="00F0383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4D6C80"/>
  <w15:chartTrackingRefBased/>
  <w15:docId w15:val="{3F608E88-49A4-4D38-B48C-03FE158EE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versales">
    <w:name w:val="versales"/>
    <w:basedOn w:val="Normal"/>
    <w:rsid w:val="00575AB2"/>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NormalWeb">
    <w:name w:val="Normal (Web)"/>
    <w:basedOn w:val="Normal"/>
    <w:uiPriority w:val="99"/>
    <w:semiHidden/>
    <w:unhideWhenUsed/>
    <w:rsid w:val="00575AB2"/>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egritas">
    <w:name w:val="negritas"/>
    <w:basedOn w:val="Fuentedeprrafopredeter"/>
    <w:rsid w:val="00575AB2"/>
  </w:style>
  <w:style w:type="paragraph" w:customStyle="1" w:styleId="sangria">
    <w:name w:val="sangria"/>
    <w:basedOn w:val="Normal"/>
    <w:rsid w:val="00575AB2"/>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centrar">
    <w:name w:val="centrar"/>
    <w:basedOn w:val="Normal"/>
    <w:rsid w:val="00575AB2"/>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derecha">
    <w:name w:val="derecha"/>
    <w:basedOn w:val="Normal"/>
    <w:rsid w:val="00575AB2"/>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atentamente">
    <w:name w:val="atentamente"/>
    <w:basedOn w:val="Normal"/>
    <w:rsid w:val="00575AB2"/>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4067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1017</Words>
  <Characters>5595</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jose vazquez</cp:lastModifiedBy>
  <cp:revision>2</cp:revision>
  <dcterms:created xsi:type="dcterms:W3CDTF">2022-06-17T22:55:00Z</dcterms:created>
  <dcterms:modified xsi:type="dcterms:W3CDTF">2022-06-17T22:55:00Z</dcterms:modified>
</cp:coreProperties>
</file>